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DB" w:rsidRPr="009E06DB" w:rsidRDefault="009E06DB" w:rsidP="009E06DB">
      <w:pPr>
        <w:rPr>
          <w:b/>
          <w:bCs/>
        </w:rPr>
      </w:pPr>
      <w:bookmarkStart w:id="0" w:name="_Toc367429784"/>
      <w:bookmarkStart w:id="1" w:name="_GoBack"/>
      <w:bookmarkEnd w:id="1"/>
      <w:r w:rsidRPr="009E06DB">
        <w:rPr>
          <w:b/>
          <w:bCs/>
        </w:rPr>
        <w:t>FLYTTEGODTGJERSLE</w:t>
      </w:r>
      <w:bookmarkEnd w:id="0"/>
    </w:p>
    <w:p w:rsidR="009E06DB" w:rsidRPr="009E06DB" w:rsidRDefault="009E06DB" w:rsidP="009E06DB">
      <w:pPr>
        <w:rPr>
          <w:i/>
        </w:rPr>
      </w:pPr>
      <w:r>
        <w:rPr>
          <w:i/>
        </w:rPr>
        <w:t>Vedteke av Administrasjonsutvalet 26.09.13.</w:t>
      </w:r>
    </w:p>
    <w:p w:rsidR="009E06DB" w:rsidRPr="009E06DB" w:rsidRDefault="009E06DB" w:rsidP="009E06DB">
      <w:pPr>
        <w:numPr>
          <w:ilvl w:val="0"/>
          <w:numId w:val="1"/>
        </w:numPr>
        <w:rPr>
          <w:b/>
        </w:rPr>
      </w:pPr>
      <w:r w:rsidRPr="009E06DB">
        <w:rPr>
          <w:b/>
        </w:rPr>
        <w:t>Verkeområde</w:t>
      </w:r>
    </w:p>
    <w:p w:rsidR="009E06DB" w:rsidRPr="009E06DB" w:rsidRDefault="009E06DB" w:rsidP="009E06DB">
      <w:r w:rsidRPr="009E06DB">
        <w:t>Reglementet gjeld for personar som skal ta til i stilling i Eid kommune og som flyttar frå annan kommune. Krav om flyttegodtgjersle må setjast fram innan tre månader etter at flyttinga fann stad.</w:t>
      </w:r>
    </w:p>
    <w:p w:rsidR="009E06DB" w:rsidRPr="009E06DB" w:rsidRDefault="009E06DB" w:rsidP="009E06DB">
      <w:pPr>
        <w:numPr>
          <w:ilvl w:val="0"/>
          <w:numId w:val="1"/>
        </w:numPr>
        <w:rPr>
          <w:b/>
        </w:rPr>
      </w:pPr>
      <w:r w:rsidRPr="009E06DB">
        <w:rPr>
          <w:b/>
        </w:rPr>
        <w:t>Satsar for flyttegodtgjersle</w:t>
      </w:r>
    </w:p>
    <w:p w:rsidR="009E06DB" w:rsidRPr="009E06DB" w:rsidRDefault="009E06DB" w:rsidP="009E06DB">
      <w:r w:rsidRPr="009E06DB">
        <w:t>Legitimerte utgifter knytt til flytting av innbu vert dekt inn til maksimumssatsar etter flyttedistanse. Satsane vert regulerte av rådmannen</w:t>
      </w:r>
      <w:r>
        <w:t xml:space="preserve"> i samsvar med prisindeks</w:t>
      </w:r>
      <w:r w:rsidRPr="009E06DB">
        <w:t>. Satsar per 2013 er:</w:t>
      </w:r>
    </w:p>
    <w:p w:rsidR="009E06DB" w:rsidRPr="009E06DB" w:rsidRDefault="009E06DB" w:rsidP="009E06DB">
      <w:pPr>
        <w:spacing w:after="0" w:line="240" w:lineRule="auto"/>
        <w:rPr>
          <w:i/>
        </w:rPr>
      </w:pPr>
      <w:r w:rsidRPr="009E06DB">
        <w:rPr>
          <w:i/>
        </w:rPr>
        <w:t>Kilometer</w:t>
      </w:r>
      <w:r w:rsidRPr="009E06DB">
        <w:rPr>
          <w:i/>
        </w:rPr>
        <w:tab/>
      </w:r>
      <w:r w:rsidRPr="009E06DB">
        <w:rPr>
          <w:i/>
        </w:rPr>
        <w:tab/>
      </w:r>
      <w:r w:rsidRPr="009E06DB">
        <w:rPr>
          <w:i/>
        </w:rPr>
        <w:tab/>
        <w:t>Sats</w:t>
      </w:r>
    </w:p>
    <w:p w:rsidR="009E06DB" w:rsidRPr="009E06DB" w:rsidRDefault="009E06DB" w:rsidP="009E06DB">
      <w:pPr>
        <w:spacing w:after="0" w:line="240" w:lineRule="auto"/>
      </w:pPr>
      <w:r w:rsidRPr="009E06DB">
        <w:t>Inntil 100</w:t>
      </w:r>
      <w:r w:rsidRPr="009E06DB">
        <w:tab/>
      </w:r>
      <w:r w:rsidRPr="009E06DB">
        <w:tab/>
      </w:r>
      <w:r w:rsidRPr="009E06DB">
        <w:tab/>
        <w:t>kr</w:t>
      </w:r>
      <w:r>
        <w:t xml:space="preserve"> 4 5</w:t>
      </w:r>
      <w:r w:rsidRPr="009E06DB">
        <w:t>00</w:t>
      </w:r>
    </w:p>
    <w:p w:rsidR="009E06DB" w:rsidRPr="009E06DB" w:rsidRDefault="009E06DB" w:rsidP="009E06DB">
      <w:pPr>
        <w:spacing w:after="0" w:line="240" w:lineRule="auto"/>
      </w:pPr>
      <w:r>
        <w:t>101 – 250</w:t>
      </w:r>
      <w:r>
        <w:tab/>
      </w:r>
      <w:r>
        <w:tab/>
      </w:r>
      <w:r>
        <w:tab/>
        <w:t>kr 6 6</w:t>
      </w:r>
      <w:r w:rsidRPr="009E06DB">
        <w:t>00</w:t>
      </w:r>
    </w:p>
    <w:p w:rsidR="009E06DB" w:rsidRPr="009E06DB" w:rsidRDefault="009E06DB" w:rsidP="009E06DB">
      <w:pPr>
        <w:spacing w:after="0" w:line="240" w:lineRule="auto"/>
      </w:pPr>
      <w:r>
        <w:t>251 – 500</w:t>
      </w:r>
      <w:r>
        <w:tab/>
      </w:r>
      <w:r>
        <w:tab/>
      </w:r>
      <w:r>
        <w:tab/>
        <w:t>kr 8 8</w:t>
      </w:r>
      <w:r w:rsidRPr="009E06DB">
        <w:t>00</w:t>
      </w:r>
    </w:p>
    <w:p w:rsidR="009E06DB" w:rsidRPr="009E06DB" w:rsidRDefault="009E06DB" w:rsidP="009E06DB">
      <w:pPr>
        <w:spacing w:after="0" w:line="240" w:lineRule="auto"/>
      </w:pPr>
      <w:r>
        <w:t>501 – 750</w:t>
      </w:r>
      <w:r>
        <w:tab/>
      </w:r>
      <w:r>
        <w:tab/>
      </w:r>
      <w:r>
        <w:tab/>
        <w:t>kr 11</w:t>
      </w:r>
      <w:r w:rsidRPr="009E06DB">
        <w:t xml:space="preserve"> 000</w:t>
      </w:r>
      <w:r w:rsidRPr="009E06DB">
        <w:tab/>
      </w:r>
    </w:p>
    <w:p w:rsidR="009E06DB" w:rsidRPr="009E06DB" w:rsidRDefault="009E06DB" w:rsidP="009E06DB">
      <w:pPr>
        <w:spacing w:after="0" w:line="240" w:lineRule="auto"/>
      </w:pPr>
      <w:r>
        <w:t>751 – 1000</w:t>
      </w:r>
      <w:r>
        <w:tab/>
      </w:r>
      <w:r>
        <w:tab/>
      </w:r>
      <w:r>
        <w:tab/>
        <w:t>kr 13</w:t>
      </w:r>
      <w:r w:rsidRPr="009E06DB">
        <w:t xml:space="preserve"> 000</w:t>
      </w:r>
    </w:p>
    <w:p w:rsidR="009E06DB" w:rsidRPr="009E06DB" w:rsidRDefault="009E06DB" w:rsidP="009E06DB">
      <w:pPr>
        <w:spacing w:after="0" w:line="240" w:lineRule="auto"/>
      </w:pPr>
      <w:r>
        <w:t>1001 – 2000</w:t>
      </w:r>
      <w:r>
        <w:tab/>
      </w:r>
      <w:r>
        <w:tab/>
      </w:r>
      <w:r>
        <w:tab/>
        <w:t>kr 15 5</w:t>
      </w:r>
      <w:r w:rsidRPr="009E06DB">
        <w:t>00</w:t>
      </w:r>
    </w:p>
    <w:p w:rsidR="009E06DB" w:rsidRPr="009E06DB" w:rsidRDefault="009E06DB" w:rsidP="009E06DB">
      <w:pPr>
        <w:spacing w:after="0" w:line="240" w:lineRule="auto"/>
      </w:pPr>
      <w:r>
        <w:t>Over 2000</w:t>
      </w:r>
      <w:r>
        <w:tab/>
      </w:r>
      <w:r>
        <w:tab/>
      </w:r>
      <w:r>
        <w:tab/>
        <w:t>kr 17 5</w:t>
      </w:r>
      <w:r w:rsidRPr="009E06DB">
        <w:t>00</w:t>
      </w:r>
    </w:p>
    <w:p w:rsidR="009E06DB" w:rsidRDefault="009E06DB" w:rsidP="009E06DB">
      <w:pPr>
        <w:spacing w:after="120" w:line="360" w:lineRule="auto"/>
      </w:pPr>
    </w:p>
    <w:p w:rsidR="009E06DB" w:rsidRPr="009E06DB" w:rsidRDefault="009E06DB" w:rsidP="009E06DB">
      <w:r w:rsidRPr="009E06DB">
        <w:t>Satsane gjeld tilsette i fulltidsstilling. Satsane vert reduserte høvesvis for mindre stillingar, inntil 50 %.</w:t>
      </w:r>
    </w:p>
    <w:p w:rsidR="009E06DB" w:rsidRPr="009E06DB" w:rsidRDefault="009E06DB" w:rsidP="009E06DB">
      <w:pPr>
        <w:numPr>
          <w:ilvl w:val="0"/>
          <w:numId w:val="1"/>
        </w:numPr>
        <w:rPr>
          <w:b/>
        </w:rPr>
      </w:pPr>
      <w:r w:rsidRPr="009E06DB">
        <w:rPr>
          <w:b/>
        </w:rPr>
        <w:t>Bindingstid</w:t>
      </w:r>
    </w:p>
    <w:p w:rsidR="009E06DB" w:rsidRPr="009E06DB" w:rsidRDefault="009E06DB" w:rsidP="009E06DB">
      <w:r w:rsidRPr="009E06DB">
        <w:t>Arbeidstakarar som får flyttegodtgjersle får ei bindingstid på 2 år i Eid kommune.</w:t>
      </w:r>
    </w:p>
    <w:p w:rsidR="009E06DB" w:rsidRPr="009E06DB" w:rsidRDefault="009E06DB" w:rsidP="009E06DB">
      <w:r w:rsidRPr="009E06DB">
        <w:t>Dersom vedkomande arbeidstakar sluttar før den tid, må godtgjersla betalast attende.</w:t>
      </w:r>
    </w:p>
    <w:p w:rsidR="009E06DB" w:rsidRPr="009E06DB" w:rsidRDefault="009E06DB" w:rsidP="009E06DB">
      <w:r w:rsidRPr="009E06DB">
        <w:t>Tilsette i vikariat/engasjement som varer mindre enn 2 år kan velje mellom (1) halv sats eller (2) full sats og betale attende dersom ein flyttar før det har gått to år.</w:t>
      </w:r>
    </w:p>
    <w:p w:rsidR="009E06DB" w:rsidRPr="009E06DB" w:rsidRDefault="009E06DB" w:rsidP="009E06DB">
      <w:pPr>
        <w:numPr>
          <w:ilvl w:val="0"/>
          <w:numId w:val="1"/>
        </w:numPr>
        <w:rPr>
          <w:b/>
        </w:rPr>
      </w:pPr>
      <w:r w:rsidRPr="009E06DB">
        <w:rPr>
          <w:b/>
        </w:rPr>
        <w:t>Tolking av reglement</w:t>
      </w:r>
    </w:p>
    <w:p w:rsidR="009E06DB" w:rsidRPr="009E06DB" w:rsidRDefault="009E06DB" w:rsidP="009E06DB">
      <w:r w:rsidRPr="009E06DB">
        <w:t xml:space="preserve">Administrasjonsutvalet får fullmakt til å avgjere spørsmål om tolking av dette reglementet. Søknad om flyttegodtgjersle vert levert næraste leiar som tilrår. Personalavdelinga handsamar søknaden. </w:t>
      </w:r>
    </w:p>
    <w:p w:rsidR="009E06DB" w:rsidRPr="009E06DB" w:rsidRDefault="009E06DB" w:rsidP="009E06DB">
      <w:pPr>
        <w:numPr>
          <w:ilvl w:val="0"/>
          <w:numId w:val="1"/>
        </w:numPr>
        <w:rPr>
          <w:b/>
        </w:rPr>
      </w:pPr>
      <w:r w:rsidRPr="009E06DB">
        <w:rPr>
          <w:b/>
        </w:rPr>
        <w:t>Gjennomføring av reglane</w:t>
      </w:r>
    </w:p>
    <w:p w:rsidR="009E06DB" w:rsidRPr="009E06DB" w:rsidRDefault="009E06DB" w:rsidP="009E06DB">
      <w:r w:rsidRPr="009E06DB">
        <w:t>Den enkelte avdelingsleiar pliktar å sjå til av reglane vert gjennomførte. Utgiftene skal dekkjast over budsjettet til den enkelte avdelinga. Ved utbetaling skal det skrivast ein kontrakt mellom den tilsette og Eid kommune, slik at det kjem klart fram at godtgjersla skal betalast attende dersom ein ikkje overheld bindingstida.</w:t>
      </w:r>
    </w:p>
    <w:sectPr w:rsidR="009E06DB" w:rsidRPr="009E0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0D4B"/>
    <w:multiLevelType w:val="hybridMultilevel"/>
    <w:tmpl w:val="3704258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DB"/>
    <w:rsid w:val="00152C2B"/>
    <w:rsid w:val="009E06DB"/>
    <w:rsid w:val="00DE4F50"/>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1425</Characters>
  <Application>Microsoft Office Word</Application>
  <DocSecurity>4</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Eid kommune</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Rotihaug</dc:creator>
  <cp:lastModifiedBy>Terje Moldestad</cp:lastModifiedBy>
  <cp:revision>2</cp:revision>
  <dcterms:created xsi:type="dcterms:W3CDTF">2017-10-11T12:51:00Z</dcterms:created>
  <dcterms:modified xsi:type="dcterms:W3CDTF">2017-10-11T12:51:00Z</dcterms:modified>
</cp:coreProperties>
</file>